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01B4B" w14:textId="08958B2A" w:rsidR="009C7CF3" w:rsidRPr="00C864AE" w:rsidRDefault="009C7CF3" w:rsidP="00C825C1">
      <w:pPr>
        <w:rPr>
          <w:rFonts w:ascii="Arial" w:eastAsia="Times New Roman" w:hAnsi="Arial" w:cs="Arial"/>
          <w:b/>
          <w:bCs/>
          <w:sz w:val="32"/>
          <w:szCs w:val="32"/>
        </w:rPr>
      </w:pPr>
      <w:r w:rsidRPr="00C825C1">
        <w:rPr>
          <w:rFonts w:ascii="Arial" w:eastAsia="Times New Roman" w:hAnsi="Arial" w:cs="Arial"/>
          <w:b/>
          <w:bCs/>
          <w:sz w:val="40"/>
          <w:szCs w:val="40"/>
        </w:rPr>
        <w:t xml:space="preserve">Academies Accounts Direction 2019/20 Supplementary Bulletin –Academies SAM </w:t>
      </w:r>
      <w:r w:rsidR="00A929E4">
        <w:rPr>
          <w:rFonts w:ascii="Arial" w:eastAsia="Times New Roman" w:hAnsi="Arial" w:cs="Arial"/>
          <w:b/>
          <w:bCs/>
          <w:sz w:val="40"/>
          <w:szCs w:val="40"/>
        </w:rPr>
        <w:t>A</w:t>
      </w:r>
      <w:r w:rsidRPr="00C825C1">
        <w:rPr>
          <w:rFonts w:ascii="Arial" w:eastAsia="Times New Roman" w:hAnsi="Arial" w:cs="Arial"/>
          <w:b/>
          <w:bCs/>
          <w:sz w:val="40"/>
          <w:szCs w:val="40"/>
        </w:rPr>
        <w:t xml:space="preserve">pplication </w:t>
      </w:r>
      <w:r w:rsidR="00A929E4">
        <w:rPr>
          <w:rFonts w:ascii="Arial" w:eastAsia="Times New Roman" w:hAnsi="Arial" w:cs="Arial"/>
          <w:b/>
          <w:bCs/>
          <w:sz w:val="40"/>
          <w:szCs w:val="40"/>
        </w:rPr>
        <w:t>G</w:t>
      </w:r>
      <w:r w:rsidRPr="00C825C1">
        <w:rPr>
          <w:rFonts w:ascii="Arial" w:eastAsia="Times New Roman" w:hAnsi="Arial" w:cs="Arial"/>
          <w:b/>
          <w:bCs/>
          <w:sz w:val="40"/>
          <w:szCs w:val="40"/>
        </w:rPr>
        <w:t>uidance.</w:t>
      </w:r>
      <w:r w:rsidR="00C825C1" w:rsidRPr="00C825C1">
        <w:rPr>
          <w:b/>
          <w:bCs/>
          <w:sz w:val="28"/>
          <w:szCs w:val="28"/>
        </w:rPr>
        <w:t xml:space="preserve"> </w:t>
      </w:r>
    </w:p>
    <w:p w14:paraId="714D0944" w14:textId="75388BA1" w:rsidR="009C7CF3" w:rsidRDefault="009C7CF3" w:rsidP="009C7CF3">
      <w:pPr>
        <w:rPr>
          <w:rFonts w:ascii="Arial" w:eastAsia="Times New Roman" w:hAnsi="Arial" w:cs="Arial"/>
          <w:b/>
          <w:bCs/>
          <w:sz w:val="28"/>
          <w:szCs w:val="28"/>
        </w:rPr>
      </w:pPr>
    </w:p>
    <w:p w14:paraId="362FE151" w14:textId="6204FD27" w:rsidR="00DD5A0C" w:rsidRPr="00C864AE" w:rsidRDefault="00DD5A0C" w:rsidP="00DD5A0C">
      <w:pPr>
        <w:shd w:val="clear" w:color="auto" w:fill="E7E6E6" w:themeFill="background2"/>
        <w:rPr>
          <w:rFonts w:ascii="Arial" w:eastAsia="Times New Roman" w:hAnsi="Arial" w:cs="Arial"/>
          <w:b/>
          <w:bCs/>
        </w:rPr>
      </w:pPr>
      <w:r w:rsidRPr="00C864AE">
        <w:rPr>
          <w:rFonts w:ascii="Arial" w:eastAsia="Times New Roman" w:hAnsi="Arial" w:cs="Arial"/>
          <w:b/>
          <w:bCs/>
        </w:rPr>
        <w:t>Introduction</w:t>
      </w:r>
    </w:p>
    <w:p w14:paraId="76548ABD" w14:textId="77777777" w:rsidR="00030D99" w:rsidRDefault="00030D99" w:rsidP="009C7CF3">
      <w:pPr>
        <w:rPr>
          <w:rFonts w:ascii="Arial" w:eastAsia="Times New Roman" w:hAnsi="Arial" w:cs="Arial"/>
          <w:sz w:val="20"/>
          <w:szCs w:val="20"/>
        </w:rPr>
      </w:pPr>
    </w:p>
    <w:p w14:paraId="6E30CA5F" w14:textId="267F2253" w:rsidR="009C7CF3" w:rsidRPr="00C864AE" w:rsidRDefault="009C7CF3" w:rsidP="009C7CF3">
      <w:pPr>
        <w:rPr>
          <w:rFonts w:ascii="Arial" w:eastAsia="Times New Roman" w:hAnsi="Arial" w:cs="Arial"/>
          <w:sz w:val="20"/>
          <w:szCs w:val="20"/>
        </w:rPr>
      </w:pPr>
      <w:r w:rsidRPr="00C864AE">
        <w:rPr>
          <w:rFonts w:ascii="Arial" w:eastAsia="Times New Roman" w:hAnsi="Arial" w:cs="Arial"/>
          <w:sz w:val="20"/>
          <w:szCs w:val="20"/>
        </w:rPr>
        <w:t xml:space="preserve">The ESFA </w:t>
      </w:r>
      <w:hyperlink r:id="rId10" w:history="1">
        <w:r w:rsidRPr="00C864AE">
          <w:rPr>
            <w:rStyle w:val="Hyperlink"/>
            <w:rFonts w:ascii="Arial" w:eastAsia="Times New Roman" w:hAnsi="Arial" w:cs="Arial"/>
            <w:sz w:val="20"/>
            <w:szCs w:val="20"/>
          </w:rPr>
          <w:t>Supplementary Bulletin</w:t>
        </w:r>
      </w:hyperlink>
      <w:r w:rsidRPr="00C864AE">
        <w:rPr>
          <w:rFonts w:ascii="Arial" w:eastAsia="Times New Roman" w:hAnsi="Arial" w:cs="Arial"/>
          <w:sz w:val="20"/>
          <w:szCs w:val="20"/>
        </w:rPr>
        <w:t xml:space="preserve"> introduces a small number of additional requirements</w:t>
      </w:r>
      <w:r w:rsidR="00702C67" w:rsidRPr="00C864AE">
        <w:rPr>
          <w:rFonts w:ascii="Arial" w:eastAsia="Times New Roman" w:hAnsi="Arial" w:cs="Arial"/>
          <w:sz w:val="20"/>
          <w:szCs w:val="20"/>
        </w:rPr>
        <w:t xml:space="preserve"> to those which are included i</w:t>
      </w:r>
      <w:r w:rsidRPr="00C864AE">
        <w:rPr>
          <w:rFonts w:ascii="Arial" w:eastAsia="Times New Roman" w:hAnsi="Arial" w:cs="Arial"/>
          <w:sz w:val="20"/>
          <w:szCs w:val="20"/>
        </w:rPr>
        <w:t>n the Accounts Direction 2019-2020.</w:t>
      </w:r>
    </w:p>
    <w:p w14:paraId="35FEE850" w14:textId="0F231CF5" w:rsidR="009C7CF3" w:rsidRPr="00C864AE" w:rsidRDefault="009C7CF3" w:rsidP="009C7CF3">
      <w:pPr>
        <w:rPr>
          <w:rFonts w:ascii="Arial" w:eastAsia="Times New Roman" w:hAnsi="Arial" w:cs="Arial"/>
          <w:sz w:val="20"/>
          <w:szCs w:val="20"/>
        </w:rPr>
      </w:pPr>
    </w:p>
    <w:p w14:paraId="511A98F4" w14:textId="6550DA8F" w:rsidR="009C7CF3" w:rsidRPr="00C864AE" w:rsidRDefault="009C7CF3" w:rsidP="009C7CF3">
      <w:pPr>
        <w:rPr>
          <w:rFonts w:ascii="Arial" w:eastAsia="Times New Roman" w:hAnsi="Arial" w:cs="Arial"/>
          <w:sz w:val="20"/>
          <w:szCs w:val="20"/>
        </w:rPr>
      </w:pPr>
      <w:r w:rsidRPr="00C864AE">
        <w:rPr>
          <w:rFonts w:ascii="Arial" w:eastAsia="Times New Roman" w:hAnsi="Arial" w:cs="Arial"/>
          <w:sz w:val="20"/>
          <w:szCs w:val="20"/>
        </w:rPr>
        <w:t xml:space="preserve">This Mercia Academies </w:t>
      </w:r>
      <w:r w:rsidR="00030D99">
        <w:rPr>
          <w:rFonts w:ascii="Arial" w:eastAsia="Times New Roman" w:hAnsi="Arial" w:cs="Arial"/>
          <w:sz w:val="20"/>
          <w:szCs w:val="20"/>
        </w:rPr>
        <w:t>Specialist Assignment Manual (</w:t>
      </w:r>
      <w:r w:rsidRPr="00C864AE">
        <w:rPr>
          <w:rFonts w:ascii="Arial" w:eastAsia="Times New Roman" w:hAnsi="Arial" w:cs="Arial"/>
          <w:sz w:val="20"/>
          <w:szCs w:val="20"/>
        </w:rPr>
        <w:t>SAM</w:t>
      </w:r>
      <w:r w:rsidR="00030D99">
        <w:rPr>
          <w:rFonts w:ascii="Arial" w:eastAsia="Times New Roman" w:hAnsi="Arial" w:cs="Arial"/>
          <w:sz w:val="20"/>
          <w:szCs w:val="20"/>
        </w:rPr>
        <w:t>)</w:t>
      </w:r>
      <w:r w:rsidRPr="00C864AE">
        <w:rPr>
          <w:rFonts w:ascii="Arial" w:eastAsia="Times New Roman" w:hAnsi="Arial" w:cs="Arial"/>
          <w:sz w:val="20"/>
          <w:szCs w:val="20"/>
        </w:rPr>
        <w:t xml:space="preserve"> application guidance should be read in conjunction with the Bulletin, and also revisions to the model accounts and disclosure checklist attached to this email alert.</w:t>
      </w:r>
    </w:p>
    <w:p w14:paraId="0DF02482" w14:textId="77777777" w:rsidR="009C7CF3" w:rsidRPr="00C864AE" w:rsidRDefault="009C7CF3" w:rsidP="009C074E">
      <w:pPr>
        <w:rPr>
          <w:rFonts w:ascii="Arial" w:eastAsia="Times New Roman" w:hAnsi="Arial" w:cs="Arial"/>
          <w:sz w:val="20"/>
          <w:szCs w:val="20"/>
        </w:rPr>
      </w:pPr>
    </w:p>
    <w:p w14:paraId="7B3AE0FE" w14:textId="77777777" w:rsidR="004A0778" w:rsidRPr="00C864AE" w:rsidRDefault="004A0778" w:rsidP="00DD5A0C">
      <w:pPr>
        <w:shd w:val="clear" w:color="auto" w:fill="E7E6E6" w:themeFill="background2"/>
        <w:rPr>
          <w:rFonts w:ascii="Arial" w:hAnsi="Arial" w:cs="Arial"/>
          <w:b/>
          <w:bCs/>
        </w:rPr>
      </w:pPr>
      <w:r w:rsidRPr="00C864AE">
        <w:rPr>
          <w:rFonts w:ascii="Arial" w:hAnsi="Arial" w:cs="Arial"/>
          <w:b/>
          <w:bCs/>
        </w:rPr>
        <w:t>Audit &amp; regularity risk assessment</w:t>
      </w:r>
    </w:p>
    <w:p w14:paraId="612C7039" w14:textId="77777777" w:rsidR="00030D99" w:rsidRDefault="00030D99">
      <w:pPr>
        <w:rPr>
          <w:rFonts w:ascii="Arial" w:hAnsi="Arial" w:cs="Arial"/>
          <w:sz w:val="20"/>
          <w:szCs w:val="20"/>
        </w:rPr>
      </w:pPr>
    </w:p>
    <w:p w14:paraId="6A77A08D" w14:textId="245B6488" w:rsidR="004A0778" w:rsidRPr="00C864AE" w:rsidRDefault="004A0778">
      <w:pPr>
        <w:rPr>
          <w:rFonts w:ascii="Arial" w:hAnsi="Arial" w:cs="Arial"/>
          <w:sz w:val="20"/>
          <w:szCs w:val="20"/>
        </w:rPr>
      </w:pPr>
      <w:r w:rsidRPr="00C864AE">
        <w:rPr>
          <w:rFonts w:ascii="Arial" w:hAnsi="Arial" w:cs="Arial"/>
          <w:sz w:val="20"/>
          <w:szCs w:val="20"/>
        </w:rPr>
        <w:t xml:space="preserve">The </w:t>
      </w:r>
      <w:r w:rsidR="00702C67" w:rsidRPr="00C864AE">
        <w:rPr>
          <w:rFonts w:ascii="Arial" w:hAnsi="Arial" w:cs="Arial"/>
          <w:sz w:val="20"/>
          <w:szCs w:val="20"/>
        </w:rPr>
        <w:t>B</w:t>
      </w:r>
      <w:r w:rsidRPr="00C864AE">
        <w:rPr>
          <w:rFonts w:ascii="Arial" w:hAnsi="Arial" w:cs="Arial"/>
          <w:sz w:val="20"/>
          <w:szCs w:val="20"/>
        </w:rPr>
        <w:t xml:space="preserve">ulletin </w:t>
      </w:r>
      <w:r w:rsidR="009C7CF3" w:rsidRPr="00C864AE">
        <w:rPr>
          <w:rFonts w:ascii="Arial" w:hAnsi="Arial" w:cs="Arial"/>
          <w:sz w:val="20"/>
          <w:szCs w:val="20"/>
        </w:rPr>
        <w:t xml:space="preserve">highlights and </w:t>
      </w:r>
      <w:r w:rsidR="009C074E" w:rsidRPr="00C864AE">
        <w:rPr>
          <w:rFonts w:ascii="Arial" w:hAnsi="Arial" w:cs="Arial"/>
          <w:sz w:val="20"/>
          <w:szCs w:val="20"/>
        </w:rPr>
        <w:t xml:space="preserve">implies a number of factors that may be relevant to the risk assessment process. </w:t>
      </w:r>
      <w:r w:rsidR="00C825C1">
        <w:rPr>
          <w:rFonts w:ascii="Arial" w:hAnsi="Arial" w:cs="Arial"/>
          <w:sz w:val="20"/>
          <w:szCs w:val="20"/>
        </w:rPr>
        <w:t xml:space="preserve"> </w:t>
      </w:r>
      <w:r w:rsidR="009C074E" w:rsidRPr="00C864AE">
        <w:rPr>
          <w:rFonts w:ascii="Arial" w:hAnsi="Arial" w:cs="Arial"/>
          <w:sz w:val="20"/>
          <w:szCs w:val="20"/>
        </w:rPr>
        <w:t xml:space="preserve">These are in addition to those that </w:t>
      </w:r>
      <w:r w:rsidR="00702C67" w:rsidRPr="00C864AE">
        <w:rPr>
          <w:rFonts w:ascii="Arial" w:hAnsi="Arial" w:cs="Arial"/>
          <w:sz w:val="20"/>
          <w:szCs w:val="20"/>
        </w:rPr>
        <w:t>would</w:t>
      </w:r>
      <w:r w:rsidR="009C074E" w:rsidRPr="00C864AE">
        <w:rPr>
          <w:rFonts w:ascii="Arial" w:hAnsi="Arial" w:cs="Arial"/>
          <w:sz w:val="20"/>
          <w:szCs w:val="20"/>
        </w:rPr>
        <w:t xml:space="preserve"> more generally be considered in respect of COVID-19 matters. </w:t>
      </w:r>
      <w:r w:rsidR="00C825C1">
        <w:rPr>
          <w:rFonts w:ascii="Arial" w:hAnsi="Arial" w:cs="Arial"/>
          <w:sz w:val="20"/>
          <w:szCs w:val="20"/>
        </w:rPr>
        <w:t xml:space="preserve"> </w:t>
      </w:r>
      <w:r w:rsidR="009C074E" w:rsidRPr="00C864AE">
        <w:rPr>
          <w:rFonts w:ascii="Arial" w:hAnsi="Arial" w:cs="Arial"/>
          <w:sz w:val="20"/>
          <w:szCs w:val="20"/>
        </w:rPr>
        <w:t>It is important that users</w:t>
      </w:r>
      <w:r w:rsidR="00CA2DB2" w:rsidRPr="00C864AE">
        <w:rPr>
          <w:rFonts w:ascii="Arial" w:hAnsi="Arial" w:cs="Arial"/>
          <w:sz w:val="20"/>
          <w:szCs w:val="20"/>
        </w:rPr>
        <w:t xml:space="preserve"> of the Academies SAM</w:t>
      </w:r>
      <w:r w:rsidR="009C074E" w:rsidRPr="00C864AE">
        <w:rPr>
          <w:rFonts w:ascii="Arial" w:hAnsi="Arial" w:cs="Arial"/>
          <w:sz w:val="20"/>
          <w:szCs w:val="20"/>
        </w:rPr>
        <w:t xml:space="preserve"> </w:t>
      </w:r>
      <w:r w:rsidR="00377932" w:rsidRPr="00C864AE">
        <w:rPr>
          <w:rFonts w:ascii="Arial" w:hAnsi="Arial" w:cs="Arial"/>
          <w:sz w:val="20"/>
          <w:szCs w:val="20"/>
        </w:rPr>
        <w:t xml:space="preserve">document their approach to COVID-19 related matters through the </w:t>
      </w:r>
      <w:r w:rsidR="00CA2DB2" w:rsidRPr="00C864AE">
        <w:rPr>
          <w:rFonts w:ascii="Arial" w:hAnsi="Arial" w:cs="Arial"/>
          <w:sz w:val="20"/>
          <w:szCs w:val="20"/>
        </w:rPr>
        <w:t xml:space="preserve">PF3, </w:t>
      </w:r>
      <w:r w:rsidR="00377932" w:rsidRPr="00C864AE">
        <w:rPr>
          <w:rFonts w:ascii="Arial" w:hAnsi="Arial" w:cs="Arial"/>
          <w:sz w:val="20"/>
          <w:szCs w:val="20"/>
        </w:rPr>
        <w:t>B32, B32-RR and B33</w:t>
      </w:r>
      <w:r w:rsidR="00CA2DB2" w:rsidRPr="00C864AE">
        <w:rPr>
          <w:rFonts w:ascii="Arial" w:hAnsi="Arial" w:cs="Arial"/>
          <w:sz w:val="20"/>
          <w:szCs w:val="20"/>
        </w:rPr>
        <w:t xml:space="preserve"> forms</w:t>
      </w:r>
      <w:r w:rsidR="00377932" w:rsidRPr="00C864AE">
        <w:rPr>
          <w:rFonts w:ascii="Arial" w:hAnsi="Arial" w:cs="Arial"/>
          <w:sz w:val="20"/>
          <w:szCs w:val="20"/>
        </w:rPr>
        <w:t xml:space="preserve"> as well as tailor relevant testing into work programmes.</w:t>
      </w:r>
    </w:p>
    <w:p w14:paraId="3CBC8E62" w14:textId="28AF1C38" w:rsidR="00CA2DB2" w:rsidRPr="00C864AE" w:rsidRDefault="00CA2DB2">
      <w:pPr>
        <w:rPr>
          <w:rFonts w:ascii="Arial" w:hAnsi="Arial" w:cs="Arial"/>
          <w:sz w:val="20"/>
          <w:szCs w:val="20"/>
        </w:rPr>
      </w:pPr>
    </w:p>
    <w:p w14:paraId="16A37E3B" w14:textId="07923A13" w:rsidR="009C7CF3" w:rsidRPr="00C864AE" w:rsidRDefault="009C7CF3">
      <w:pPr>
        <w:rPr>
          <w:rFonts w:ascii="Arial" w:hAnsi="Arial" w:cs="Arial"/>
          <w:sz w:val="20"/>
          <w:szCs w:val="20"/>
        </w:rPr>
      </w:pPr>
      <w:r w:rsidRPr="00C864AE">
        <w:rPr>
          <w:rFonts w:ascii="Arial" w:hAnsi="Arial" w:cs="Arial"/>
          <w:sz w:val="20"/>
          <w:szCs w:val="20"/>
        </w:rPr>
        <w:t xml:space="preserve">A summary of factors relevant to the risk assessment as highlighted by the Supplementary Bulletin are included </w:t>
      </w:r>
      <w:r w:rsidR="00CA2DB2" w:rsidRPr="00C864AE">
        <w:rPr>
          <w:rFonts w:ascii="Arial" w:hAnsi="Arial" w:cs="Arial"/>
          <w:sz w:val="20"/>
          <w:szCs w:val="20"/>
        </w:rPr>
        <w:t>in the table below.  This table may be used to supplement documentation included within the PF3 and be relevant when assessing risk on B32</w:t>
      </w:r>
      <w:r w:rsidR="00702C67" w:rsidRPr="00C864AE">
        <w:rPr>
          <w:rFonts w:ascii="Arial" w:hAnsi="Arial" w:cs="Arial"/>
          <w:sz w:val="20"/>
          <w:szCs w:val="20"/>
        </w:rPr>
        <w:t>/B32-R and defining the approach</w:t>
      </w:r>
      <w:r w:rsidR="00CA2DB2" w:rsidRPr="00C864AE">
        <w:rPr>
          <w:rFonts w:ascii="Arial" w:hAnsi="Arial" w:cs="Arial"/>
          <w:sz w:val="20"/>
          <w:szCs w:val="20"/>
        </w:rPr>
        <w:t>.</w:t>
      </w:r>
    </w:p>
    <w:p w14:paraId="7EF8E3DF" w14:textId="66C74165" w:rsidR="009C7CF3" w:rsidRPr="00C864AE" w:rsidRDefault="009C7CF3">
      <w:pPr>
        <w:rPr>
          <w:rFonts w:ascii="Arial" w:hAnsi="Arial" w:cs="Arial"/>
          <w:sz w:val="20"/>
          <w:szCs w:val="20"/>
        </w:rPr>
      </w:pPr>
    </w:p>
    <w:tbl>
      <w:tblPr>
        <w:tblStyle w:val="ListTabl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201"/>
      </w:tblGrid>
      <w:tr w:rsidR="00CA2DB2" w:rsidRPr="00C864AE" w14:paraId="101BF15B" w14:textId="77777777" w:rsidTr="00DD5A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tcPr>
          <w:p w14:paraId="4C802084" w14:textId="52E154DF" w:rsidR="00CA2DB2" w:rsidRPr="00C864AE" w:rsidRDefault="00CA2DB2">
            <w:pPr>
              <w:rPr>
                <w:rFonts w:ascii="Arial" w:hAnsi="Arial" w:cs="Arial"/>
                <w:sz w:val="20"/>
                <w:szCs w:val="20"/>
              </w:rPr>
            </w:pPr>
            <w:r w:rsidRPr="00C864AE">
              <w:rPr>
                <w:rFonts w:ascii="Arial" w:hAnsi="Arial" w:cs="Arial"/>
                <w:sz w:val="20"/>
                <w:szCs w:val="20"/>
              </w:rPr>
              <w:t>Ref</w:t>
            </w:r>
          </w:p>
        </w:tc>
        <w:tc>
          <w:tcPr>
            <w:tcW w:w="3827" w:type="dxa"/>
          </w:tcPr>
          <w:p w14:paraId="6A6C410A" w14:textId="3591B631" w:rsidR="00CA2DB2" w:rsidRPr="00C864AE" w:rsidRDefault="00CA2DB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Factor</w:t>
            </w:r>
          </w:p>
        </w:tc>
        <w:tc>
          <w:tcPr>
            <w:tcW w:w="4201" w:type="dxa"/>
          </w:tcPr>
          <w:p w14:paraId="56081BB6" w14:textId="34F1AD5D" w:rsidR="00CA2DB2" w:rsidRPr="00C864AE" w:rsidRDefault="00CA2DB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Notes / Impact on approach (B32/B33/X2)</w:t>
            </w:r>
          </w:p>
        </w:tc>
      </w:tr>
      <w:tr w:rsidR="00CA2DB2" w:rsidRPr="00C864AE" w14:paraId="68E9E14C" w14:textId="77777777" w:rsidTr="00CA2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bottom w:val="none" w:sz="0" w:space="0" w:color="auto"/>
              <w:right w:val="none" w:sz="0" w:space="0" w:color="auto"/>
            </w:tcBorders>
          </w:tcPr>
          <w:p w14:paraId="77F77625" w14:textId="7588F885" w:rsidR="00CA2DB2" w:rsidRPr="00C864AE" w:rsidRDefault="00CA2DB2" w:rsidP="00CA2DB2">
            <w:pPr>
              <w:rPr>
                <w:rFonts w:ascii="Arial" w:hAnsi="Arial" w:cs="Arial"/>
                <w:b w:val="0"/>
                <w:bCs w:val="0"/>
                <w:sz w:val="20"/>
                <w:szCs w:val="20"/>
              </w:rPr>
            </w:pPr>
            <w:r w:rsidRPr="00C864AE">
              <w:rPr>
                <w:rFonts w:ascii="Arial" w:hAnsi="Arial" w:cs="Arial"/>
                <w:b w:val="0"/>
                <w:bCs w:val="0"/>
                <w:sz w:val="20"/>
                <w:szCs w:val="20"/>
              </w:rPr>
              <w:t>AAD SB 2.2.2</w:t>
            </w:r>
          </w:p>
        </w:tc>
        <w:tc>
          <w:tcPr>
            <w:tcW w:w="3827" w:type="dxa"/>
            <w:tcBorders>
              <w:top w:val="none" w:sz="0" w:space="0" w:color="auto"/>
              <w:bottom w:val="none" w:sz="0" w:space="0" w:color="auto"/>
            </w:tcBorders>
          </w:tcPr>
          <w:p w14:paraId="0B83AB2F" w14:textId="77777777" w:rsidR="00CA2DB2" w:rsidRPr="00C864AE" w:rsidRDefault="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4AE">
              <w:rPr>
                <w:rFonts w:ascii="Arial" w:hAnsi="Arial" w:cs="Arial"/>
                <w:sz w:val="20"/>
                <w:szCs w:val="20"/>
              </w:rPr>
              <w:t>To what extent were the governance and control arrangements, staffing levels and operations of the academy trust affected by COVID-19?</w:t>
            </w:r>
          </w:p>
          <w:p w14:paraId="6B7C588F" w14:textId="2A549FD0" w:rsidR="00CA2DB2" w:rsidRPr="00C864AE" w:rsidRDefault="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01" w:type="dxa"/>
            <w:tcBorders>
              <w:top w:val="none" w:sz="0" w:space="0" w:color="auto"/>
              <w:bottom w:val="none" w:sz="0" w:space="0" w:color="auto"/>
            </w:tcBorders>
          </w:tcPr>
          <w:p w14:paraId="1C5E4E2D" w14:textId="77777777" w:rsidR="00CA2DB2" w:rsidRPr="00C864AE" w:rsidRDefault="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A2DB2" w:rsidRPr="00C864AE" w14:paraId="774CEA07" w14:textId="77777777" w:rsidTr="00CA2DB2">
        <w:tc>
          <w:tcPr>
            <w:cnfStyle w:val="001000000000" w:firstRow="0" w:lastRow="0" w:firstColumn="1" w:lastColumn="0" w:oddVBand="0" w:evenVBand="0" w:oddHBand="0" w:evenHBand="0" w:firstRowFirstColumn="0" w:firstRowLastColumn="0" w:lastRowFirstColumn="0" w:lastRowLastColumn="0"/>
            <w:tcW w:w="988" w:type="dxa"/>
            <w:tcBorders>
              <w:right w:val="none" w:sz="0" w:space="0" w:color="auto"/>
            </w:tcBorders>
          </w:tcPr>
          <w:p w14:paraId="5017405D" w14:textId="7EF36E88" w:rsidR="00CA2DB2" w:rsidRPr="00C864AE" w:rsidRDefault="00CA2DB2">
            <w:pPr>
              <w:rPr>
                <w:rFonts w:ascii="Arial" w:hAnsi="Arial" w:cs="Arial"/>
                <w:b w:val="0"/>
                <w:bCs w:val="0"/>
                <w:sz w:val="20"/>
                <w:szCs w:val="20"/>
              </w:rPr>
            </w:pPr>
            <w:r w:rsidRPr="00C864AE">
              <w:rPr>
                <w:rFonts w:ascii="Arial" w:hAnsi="Arial" w:cs="Arial"/>
                <w:b w:val="0"/>
                <w:bCs w:val="0"/>
                <w:sz w:val="20"/>
                <w:szCs w:val="20"/>
              </w:rPr>
              <w:t>AAD SB 2.2.2</w:t>
            </w:r>
          </w:p>
        </w:tc>
        <w:tc>
          <w:tcPr>
            <w:tcW w:w="3827" w:type="dxa"/>
          </w:tcPr>
          <w:p w14:paraId="7B31EBC3" w14:textId="77777777" w:rsidR="00CA2DB2" w:rsidRPr="00C864AE" w:rsidRDefault="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If alternative arrangements were considered necessary, was there anything to suggest that the approach taken was not reasonable and practical under the circumstances at the time?</w:t>
            </w:r>
          </w:p>
          <w:p w14:paraId="270D0D5F" w14:textId="10C54698" w:rsidR="00CA2DB2" w:rsidRPr="00C864AE" w:rsidRDefault="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01" w:type="dxa"/>
          </w:tcPr>
          <w:p w14:paraId="3AC6CA55" w14:textId="77777777" w:rsidR="00CA2DB2" w:rsidRPr="00C864AE" w:rsidRDefault="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A2DB2" w:rsidRPr="00C864AE" w14:paraId="50CD7D62" w14:textId="77777777" w:rsidTr="00CA2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bottom w:val="none" w:sz="0" w:space="0" w:color="auto"/>
              <w:right w:val="none" w:sz="0" w:space="0" w:color="auto"/>
            </w:tcBorders>
          </w:tcPr>
          <w:p w14:paraId="7AA5545F" w14:textId="30BD77EA" w:rsidR="00CA2DB2" w:rsidRPr="00C864AE" w:rsidRDefault="00CA2DB2" w:rsidP="00CA2DB2">
            <w:pPr>
              <w:rPr>
                <w:rFonts w:ascii="Arial" w:hAnsi="Arial" w:cs="Arial"/>
                <w:b w:val="0"/>
                <w:bCs w:val="0"/>
                <w:sz w:val="20"/>
                <w:szCs w:val="20"/>
              </w:rPr>
            </w:pPr>
            <w:r w:rsidRPr="00C864AE">
              <w:rPr>
                <w:rFonts w:ascii="Arial" w:hAnsi="Arial" w:cs="Arial"/>
                <w:b w:val="0"/>
                <w:bCs w:val="0"/>
                <w:sz w:val="20"/>
                <w:szCs w:val="20"/>
              </w:rPr>
              <w:t>AAD SB 2.2.2</w:t>
            </w:r>
          </w:p>
        </w:tc>
        <w:tc>
          <w:tcPr>
            <w:tcW w:w="3827" w:type="dxa"/>
            <w:tcBorders>
              <w:top w:val="none" w:sz="0" w:space="0" w:color="auto"/>
              <w:bottom w:val="none" w:sz="0" w:space="0" w:color="auto"/>
            </w:tcBorders>
          </w:tcPr>
          <w:p w14:paraId="02EC95AD" w14:textId="77777777" w:rsidR="00CA2DB2" w:rsidRPr="00C864AE" w:rsidRDefault="00CA2DB2"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4AE">
              <w:rPr>
                <w:rFonts w:ascii="Arial" w:hAnsi="Arial" w:cs="Arial"/>
                <w:sz w:val="20"/>
                <w:szCs w:val="20"/>
              </w:rPr>
              <w:t>At what point was this issue identified by the academy trust? For example, did it seek ESFA or DfE guidance in advance, if appropriate, and did it consult with other academy trusts in similar situations?</w:t>
            </w:r>
          </w:p>
          <w:p w14:paraId="33A2BE18" w14:textId="6FAE0B18" w:rsidR="00CA2DB2" w:rsidRPr="00C864AE" w:rsidRDefault="00CA2DB2"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01" w:type="dxa"/>
            <w:tcBorders>
              <w:top w:val="none" w:sz="0" w:space="0" w:color="auto"/>
              <w:bottom w:val="none" w:sz="0" w:space="0" w:color="auto"/>
            </w:tcBorders>
          </w:tcPr>
          <w:p w14:paraId="056362AF" w14:textId="77777777" w:rsidR="00CA2DB2" w:rsidRPr="00C864AE" w:rsidRDefault="00CA2DB2"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A2DB2" w:rsidRPr="00C864AE" w14:paraId="335F7199" w14:textId="77777777" w:rsidTr="00C825C1">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auto"/>
              <w:right w:val="none" w:sz="0" w:space="0" w:color="auto"/>
            </w:tcBorders>
          </w:tcPr>
          <w:p w14:paraId="128944CA" w14:textId="6E9E60A9" w:rsidR="00CA2DB2" w:rsidRPr="00C864AE" w:rsidRDefault="00CA2DB2" w:rsidP="00CA2DB2">
            <w:pPr>
              <w:rPr>
                <w:rFonts w:ascii="Arial" w:hAnsi="Arial" w:cs="Arial"/>
                <w:b w:val="0"/>
                <w:bCs w:val="0"/>
                <w:sz w:val="20"/>
                <w:szCs w:val="20"/>
              </w:rPr>
            </w:pPr>
            <w:r w:rsidRPr="00C864AE">
              <w:rPr>
                <w:rFonts w:ascii="Arial" w:hAnsi="Arial" w:cs="Arial"/>
                <w:b w:val="0"/>
                <w:bCs w:val="0"/>
                <w:sz w:val="20"/>
                <w:szCs w:val="20"/>
              </w:rPr>
              <w:t>AAD SB 2.2.2</w:t>
            </w:r>
          </w:p>
        </w:tc>
        <w:tc>
          <w:tcPr>
            <w:tcW w:w="3827" w:type="dxa"/>
            <w:tcBorders>
              <w:bottom w:val="single" w:sz="4" w:space="0" w:color="auto"/>
            </w:tcBorders>
          </w:tcPr>
          <w:p w14:paraId="0F0E6CBE" w14:textId="77777777" w:rsidR="00CA2DB2" w:rsidRPr="00C864AE" w:rsidRDefault="00CA2DB2" w:rsidP="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Did the academy trust attempt to take retrospective or redressive action after the event (if appropriate)?</w:t>
            </w:r>
          </w:p>
          <w:p w14:paraId="3720B0FB" w14:textId="4CEF2FED" w:rsidR="00CA2DB2" w:rsidRPr="00C864AE" w:rsidRDefault="00CA2DB2" w:rsidP="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01" w:type="dxa"/>
            <w:tcBorders>
              <w:bottom w:val="single" w:sz="4" w:space="0" w:color="auto"/>
            </w:tcBorders>
          </w:tcPr>
          <w:p w14:paraId="7C325E7A" w14:textId="77777777" w:rsidR="00CA2DB2" w:rsidRPr="00C864AE" w:rsidRDefault="00CA2DB2" w:rsidP="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F6EFCD1" w14:textId="29D17D12" w:rsidR="00030D99" w:rsidRDefault="00030D99"/>
    <w:p w14:paraId="64B7E9C3" w14:textId="77777777" w:rsidR="00030D99" w:rsidRDefault="00030D99">
      <w:pPr>
        <w:spacing w:after="160" w:line="259" w:lineRule="auto"/>
      </w:pPr>
      <w:r>
        <w:br w:type="page"/>
      </w:r>
    </w:p>
    <w:p w14:paraId="27B738AC" w14:textId="77777777" w:rsidR="00030D99" w:rsidRPr="00C864AE" w:rsidRDefault="00030D99" w:rsidP="00030D99">
      <w:pPr>
        <w:rPr>
          <w:rFonts w:ascii="Arial" w:hAnsi="Arial" w:cs="Arial"/>
          <w:sz w:val="20"/>
          <w:szCs w:val="20"/>
        </w:rPr>
      </w:pPr>
    </w:p>
    <w:tbl>
      <w:tblPr>
        <w:tblStyle w:val="ListTabl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201"/>
      </w:tblGrid>
      <w:tr w:rsidR="00030D99" w:rsidRPr="00C864AE" w14:paraId="3493D5D5" w14:textId="77777777" w:rsidTr="00364F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tcPr>
          <w:p w14:paraId="3B05E9B7" w14:textId="77777777" w:rsidR="00030D99" w:rsidRPr="00C864AE" w:rsidRDefault="00030D99" w:rsidP="00364F80">
            <w:pPr>
              <w:rPr>
                <w:rFonts w:ascii="Arial" w:hAnsi="Arial" w:cs="Arial"/>
                <w:sz w:val="20"/>
                <w:szCs w:val="20"/>
              </w:rPr>
            </w:pPr>
            <w:r w:rsidRPr="00C864AE">
              <w:rPr>
                <w:rFonts w:ascii="Arial" w:hAnsi="Arial" w:cs="Arial"/>
                <w:sz w:val="20"/>
                <w:szCs w:val="20"/>
              </w:rPr>
              <w:t>Ref</w:t>
            </w:r>
          </w:p>
        </w:tc>
        <w:tc>
          <w:tcPr>
            <w:tcW w:w="3827" w:type="dxa"/>
          </w:tcPr>
          <w:p w14:paraId="6CE3D30A" w14:textId="77777777" w:rsidR="00030D99" w:rsidRPr="00C864AE" w:rsidRDefault="00030D99" w:rsidP="00364F8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Factor</w:t>
            </w:r>
          </w:p>
        </w:tc>
        <w:tc>
          <w:tcPr>
            <w:tcW w:w="4201" w:type="dxa"/>
          </w:tcPr>
          <w:p w14:paraId="7B24245C" w14:textId="77777777" w:rsidR="00030D99" w:rsidRPr="00C864AE" w:rsidRDefault="00030D99" w:rsidP="00364F8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Notes / Impact on approach (B32/B33/X2)</w:t>
            </w:r>
          </w:p>
        </w:tc>
      </w:tr>
      <w:tr w:rsidR="00CA2DB2" w:rsidRPr="00C864AE" w14:paraId="078BAD67" w14:textId="77777777" w:rsidTr="0003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bottom w:val="single" w:sz="4" w:space="0" w:color="auto"/>
              <w:right w:val="none" w:sz="0" w:space="0" w:color="auto"/>
            </w:tcBorders>
            <w:shd w:val="clear" w:color="auto" w:fill="auto"/>
          </w:tcPr>
          <w:p w14:paraId="5D5FF5F8" w14:textId="43791473" w:rsidR="00CA2DB2" w:rsidRPr="00030D99" w:rsidRDefault="00CA2DB2" w:rsidP="00CA2DB2">
            <w:pPr>
              <w:rPr>
                <w:rFonts w:ascii="Arial" w:hAnsi="Arial" w:cs="Arial"/>
                <w:b w:val="0"/>
                <w:bCs w:val="0"/>
                <w:sz w:val="20"/>
                <w:szCs w:val="20"/>
              </w:rPr>
            </w:pPr>
            <w:r w:rsidRPr="00030D99">
              <w:rPr>
                <w:rFonts w:ascii="Arial" w:hAnsi="Arial" w:cs="Arial"/>
                <w:b w:val="0"/>
                <w:bCs w:val="0"/>
                <w:sz w:val="20"/>
                <w:szCs w:val="20"/>
              </w:rPr>
              <w:t xml:space="preserve">AAD SB </w:t>
            </w:r>
            <w:r w:rsidR="00E30B3A" w:rsidRPr="00030D99">
              <w:rPr>
                <w:rFonts w:ascii="Arial" w:hAnsi="Arial" w:cs="Arial"/>
                <w:b w:val="0"/>
                <w:bCs w:val="0"/>
                <w:sz w:val="20"/>
                <w:szCs w:val="20"/>
              </w:rPr>
              <w:t>4</w:t>
            </w:r>
            <w:r w:rsidRPr="00030D99">
              <w:rPr>
                <w:rFonts w:ascii="Arial" w:hAnsi="Arial" w:cs="Arial"/>
                <w:b w:val="0"/>
                <w:bCs w:val="0"/>
                <w:sz w:val="20"/>
                <w:szCs w:val="20"/>
              </w:rPr>
              <w:t>.1.1</w:t>
            </w:r>
          </w:p>
        </w:tc>
        <w:tc>
          <w:tcPr>
            <w:tcW w:w="3827" w:type="dxa"/>
            <w:tcBorders>
              <w:top w:val="none" w:sz="0" w:space="0" w:color="auto"/>
              <w:bottom w:val="single" w:sz="4" w:space="0" w:color="auto"/>
            </w:tcBorders>
            <w:shd w:val="clear" w:color="auto" w:fill="auto"/>
          </w:tcPr>
          <w:p w14:paraId="456C206E" w14:textId="56448928" w:rsidR="00CA2DB2" w:rsidRPr="00030D99" w:rsidRDefault="00CA2DB2" w:rsidP="00BF78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30D99">
              <w:rPr>
                <w:rFonts w:ascii="Arial" w:hAnsi="Arial" w:cs="Arial"/>
                <w:sz w:val="20"/>
                <w:szCs w:val="20"/>
              </w:rPr>
              <w:t>Has the academy trust applied for exceptional government funding?  For example, were costs incurred that were eligible for the Financial Support Scheme for Schools or Coronavirus Job Retention Scheme?</w:t>
            </w:r>
          </w:p>
        </w:tc>
        <w:tc>
          <w:tcPr>
            <w:tcW w:w="4201" w:type="dxa"/>
            <w:tcBorders>
              <w:top w:val="none" w:sz="0" w:space="0" w:color="auto"/>
              <w:bottom w:val="single" w:sz="4" w:space="0" w:color="auto"/>
            </w:tcBorders>
            <w:shd w:val="clear" w:color="auto" w:fill="auto"/>
          </w:tcPr>
          <w:p w14:paraId="60250708" w14:textId="77777777" w:rsidR="00CA2DB2" w:rsidRPr="00030D99" w:rsidRDefault="00CA2DB2"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A2DB2" w:rsidRPr="00C864AE" w14:paraId="3F69C7DA" w14:textId="77777777" w:rsidTr="00C825C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right w:val="none" w:sz="0" w:space="0" w:color="auto"/>
            </w:tcBorders>
          </w:tcPr>
          <w:p w14:paraId="2E4C2C46" w14:textId="54F6D0B3" w:rsidR="00CA2DB2" w:rsidRPr="00C864AE" w:rsidRDefault="00DD5A0C" w:rsidP="00CA2DB2">
            <w:pPr>
              <w:rPr>
                <w:rFonts w:ascii="Arial" w:hAnsi="Arial" w:cs="Arial"/>
                <w:b w:val="0"/>
                <w:bCs w:val="0"/>
                <w:sz w:val="20"/>
                <w:szCs w:val="20"/>
              </w:rPr>
            </w:pPr>
            <w:r w:rsidRPr="00C864AE">
              <w:rPr>
                <w:rFonts w:ascii="Arial" w:hAnsi="Arial" w:cs="Arial"/>
                <w:b w:val="0"/>
                <w:bCs w:val="0"/>
                <w:sz w:val="20"/>
                <w:szCs w:val="20"/>
              </w:rPr>
              <w:t>AAD SB 2.3.3</w:t>
            </w:r>
          </w:p>
        </w:tc>
        <w:tc>
          <w:tcPr>
            <w:tcW w:w="3827" w:type="dxa"/>
            <w:tcBorders>
              <w:top w:val="single" w:sz="4" w:space="0" w:color="auto"/>
            </w:tcBorders>
          </w:tcPr>
          <w:p w14:paraId="37CA3F59" w14:textId="77777777" w:rsidR="00CA2DB2" w:rsidRPr="00C864AE" w:rsidRDefault="00DD5A0C" w:rsidP="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Has the academy trust supported at risk suppliers using supplier relief due to COVID-19 requiring the application of Procurement Policy Notes (PPN) 02/20 and 04/20?</w:t>
            </w:r>
          </w:p>
          <w:p w14:paraId="3B4B3CCA" w14:textId="41C4D91F" w:rsidR="00DD5A0C" w:rsidRPr="00C864AE" w:rsidRDefault="00DD5A0C" w:rsidP="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01" w:type="dxa"/>
            <w:tcBorders>
              <w:top w:val="single" w:sz="4" w:space="0" w:color="auto"/>
            </w:tcBorders>
          </w:tcPr>
          <w:p w14:paraId="5067F689" w14:textId="77777777" w:rsidR="00CA2DB2" w:rsidRPr="00C864AE" w:rsidRDefault="00CA2DB2" w:rsidP="00CA2D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5A0C" w:rsidRPr="00C864AE" w14:paraId="73E6A619" w14:textId="77777777" w:rsidTr="00CA2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B1DD186" w14:textId="067763F1" w:rsidR="00DD5A0C" w:rsidRPr="00C864AE" w:rsidRDefault="00DD5A0C" w:rsidP="00CA2DB2">
            <w:pPr>
              <w:rPr>
                <w:rFonts w:ascii="Arial" w:hAnsi="Arial" w:cs="Arial"/>
                <w:b w:val="0"/>
                <w:bCs w:val="0"/>
                <w:sz w:val="20"/>
                <w:szCs w:val="20"/>
              </w:rPr>
            </w:pPr>
            <w:r w:rsidRPr="00C864AE">
              <w:rPr>
                <w:rFonts w:ascii="Arial" w:hAnsi="Arial" w:cs="Arial"/>
                <w:b w:val="0"/>
                <w:bCs w:val="0"/>
                <w:sz w:val="20"/>
                <w:szCs w:val="20"/>
              </w:rPr>
              <w:t>AAD SB 2.2.2</w:t>
            </w:r>
          </w:p>
        </w:tc>
        <w:tc>
          <w:tcPr>
            <w:tcW w:w="3827" w:type="dxa"/>
          </w:tcPr>
          <w:p w14:paraId="4E19B7EF" w14:textId="77777777" w:rsidR="00DD5A0C" w:rsidRPr="00C864AE" w:rsidRDefault="00DD5A0C"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4AE">
              <w:rPr>
                <w:rFonts w:ascii="Arial" w:hAnsi="Arial" w:cs="Arial"/>
                <w:sz w:val="20"/>
                <w:szCs w:val="20"/>
              </w:rPr>
              <w:t xml:space="preserve">Has the academy trust retained a documented trail of its decision-making process, including the rationale for the decision and details of those employees and trustees involved? </w:t>
            </w:r>
          </w:p>
          <w:p w14:paraId="01FBDC59" w14:textId="2D41BDC3" w:rsidR="00DD5A0C" w:rsidRPr="00C864AE" w:rsidRDefault="00DD5A0C"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01" w:type="dxa"/>
          </w:tcPr>
          <w:p w14:paraId="3640ED91" w14:textId="77777777" w:rsidR="00DD5A0C" w:rsidRPr="00C864AE" w:rsidRDefault="00DD5A0C" w:rsidP="00CA2D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524B230" w14:textId="2AD02BDD" w:rsidR="00CA2DB2" w:rsidRPr="00C864AE" w:rsidRDefault="00CA2DB2">
      <w:pPr>
        <w:rPr>
          <w:rFonts w:ascii="Arial" w:hAnsi="Arial" w:cs="Arial"/>
          <w:sz w:val="20"/>
          <w:szCs w:val="20"/>
        </w:rPr>
      </w:pPr>
    </w:p>
    <w:p w14:paraId="542C3484" w14:textId="4E4292FA" w:rsidR="00DD5A0C" w:rsidRPr="00C864AE" w:rsidRDefault="00DD5A0C">
      <w:pPr>
        <w:rPr>
          <w:rFonts w:ascii="Arial" w:hAnsi="Arial" w:cs="Arial"/>
          <w:sz w:val="20"/>
          <w:szCs w:val="20"/>
        </w:rPr>
      </w:pPr>
      <w:r w:rsidRPr="00C864AE">
        <w:rPr>
          <w:rFonts w:ascii="Arial" w:hAnsi="Arial" w:cs="Arial"/>
          <w:sz w:val="20"/>
          <w:szCs w:val="20"/>
        </w:rPr>
        <w:t xml:space="preserve">Users may also find useful our example COVID-19 impact assessment, risk analysis and guidance which can be found </w:t>
      </w:r>
      <w:hyperlink r:id="rId11" w:history="1">
        <w:r w:rsidRPr="00C864AE">
          <w:rPr>
            <w:rStyle w:val="Hyperlink"/>
            <w:rFonts w:ascii="Arial" w:hAnsi="Arial" w:cs="Arial"/>
            <w:sz w:val="20"/>
            <w:szCs w:val="20"/>
          </w:rPr>
          <w:t>he</w:t>
        </w:r>
        <w:r w:rsidRPr="00C864AE">
          <w:rPr>
            <w:rStyle w:val="Hyperlink"/>
            <w:rFonts w:ascii="Arial" w:hAnsi="Arial" w:cs="Arial"/>
            <w:sz w:val="20"/>
            <w:szCs w:val="20"/>
          </w:rPr>
          <w:t>r</w:t>
        </w:r>
        <w:r w:rsidRPr="00C864AE">
          <w:rPr>
            <w:rStyle w:val="Hyperlink"/>
            <w:rFonts w:ascii="Arial" w:hAnsi="Arial" w:cs="Arial"/>
            <w:sz w:val="20"/>
            <w:szCs w:val="20"/>
          </w:rPr>
          <w:t>e</w:t>
        </w:r>
      </w:hyperlink>
      <w:r w:rsidRPr="00C864AE">
        <w:rPr>
          <w:rFonts w:ascii="Arial" w:hAnsi="Arial" w:cs="Arial"/>
          <w:sz w:val="20"/>
          <w:szCs w:val="20"/>
        </w:rPr>
        <w:t>.</w:t>
      </w:r>
    </w:p>
    <w:p w14:paraId="51EDBAF6" w14:textId="77777777" w:rsidR="00DD5A0C" w:rsidRPr="00C864AE" w:rsidRDefault="00DD5A0C">
      <w:pPr>
        <w:rPr>
          <w:rFonts w:ascii="Arial" w:hAnsi="Arial" w:cs="Arial"/>
        </w:rPr>
      </w:pPr>
    </w:p>
    <w:p w14:paraId="70E93738" w14:textId="212458F9" w:rsidR="004A0778" w:rsidRPr="00C864AE" w:rsidRDefault="004A0778" w:rsidP="00DD5A0C">
      <w:pPr>
        <w:shd w:val="clear" w:color="auto" w:fill="E7E6E6" w:themeFill="background2"/>
        <w:rPr>
          <w:rFonts w:ascii="Arial" w:hAnsi="Arial" w:cs="Arial"/>
          <w:b/>
          <w:bCs/>
        </w:rPr>
      </w:pPr>
      <w:r w:rsidRPr="00C864AE">
        <w:rPr>
          <w:rFonts w:ascii="Arial" w:hAnsi="Arial" w:cs="Arial"/>
          <w:b/>
          <w:bCs/>
        </w:rPr>
        <w:t xml:space="preserve">Regularity </w:t>
      </w:r>
      <w:r w:rsidR="00721885" w:rsidRPr="00C864AE">
        <w:rPr>
          <w:rFonts w:ascii="Arial" w:hAnsi="Arial" w:cs="Arial"/>
          <w:b/>
          <w:bCs/>
        </w:rPr>
        <w:t xml:space="preserve">and audit </w:t>
      </w:r>
      <w:r w:rsidRPr="00C864AE">
        <w:rPr>
          <w:rFonts w:ascii="Arial" w:hAnsi="Arial" w:cs="Arial"/>
          <w:b/>
          <w:bCs/>
        </w:rPr>
        <w:t>approach</w:t>
      </w:r>
    </w:p>
    <w:p w14:paraId="285D0EAE" w14:textId="77777777" w:rsidR="00030D99" w:rsidRDefault="00030D99">
      <w:pPr>
        <w:rPr>
          <w:rFonts w:ascii="Arial" w:hAnsi="Arial" w:cs="Arial"/>
          <w:sz w:val="20"/>
          <w:szCs w:val="20"/>
        </w:rPr>
      </w:pPr>
    </w:p>
    <w:p w14:paraId="5E30471B" w14:textId="0B1B10B8" w:rsidR="004A0778" w:rsidRPr="00C864AE" w:rsidRDefault="004A0778">
      <w:pPr>
        <w:rPr>
          <w:rFonts w:ascii="Arial" w:hAnsi="Arial" w:cs="Arial"/>
          <w:sz w:val="20"/>
          <w:szCs w:val="20"/>
        </w:rPr>
      </w:pPr>
      <w:r w:rsidRPr="00C864AE">
        <w:rPr>
          <w:rFonts w:ascii="Arial" w:hAnsi="Arial" w:cs="Arial"/>
          <w:sz w:val="20"/>
          <w:szCs w:val="20"/>
        </w:rPr>
        <w:t>Whilst the Supplementary Bulletin notes that the scope of the regularity audit remains unchanged, it does highlight matters that are relevant to the approach taken</w:t>
      </w:r>
      <w:r w:rsidR="00702C67" w:rsidRPr="00C864AE">
        <w:rPr>
          <w:rFonts w:ascii="Arial" w:hAnsi="Arial" w:cs="Arial"/>
          <w:sz w:val="20"/>
          <w:szCs w:val="20"/>
        </w:rPr>
        <w:t>.  These are included in the table below, including reference to where work may be included within the test banks within the SAM</w:t>
      </w:r>
      <w:r w:rsidR="00BF78B5">
        <w:rPr>
          <w:rFonts w:ascii="Arial" w:hAnsi="Arial" w:cs="Arial"/>
          <w:sz w:val="20"/>
          <w:szCs w:val="20"/>
        </w:rPr>
        <w:t>.</w:t>
      </w:r>
    </w:p>
    <w:p w14:paraId="07D83118" w14:textId="6B0D5B8E" w:rsidR="004A0778" w:rsidRPr="00C864AE" w:rsidRDefault="004A0778">
      <w:pPr>
        <w:rPr>
          <w:rFonts w:ascii="Arial" w:hAnsi="Arial" w:cs="Arial"/>
          <w:sz w:val="20"/>
          <w:szCs w:val="20"/>
        </w:rPr>
      </w:pPr>
    </w:p>
    <w:tbl>
      <w:tblPr>
        <w:tblStyle w:val="ListTabl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28"/>
      </w:tblGrid>
      <w:tr w:rsidR="00702C67" w:rsidRPr="00C864AE" w14:paraId="47BA7080" w14:textId="77777777" w:rsidTr="007218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Borders>
              <w:bottom w:val="single" w:sz="4" w:space="0" w:color="auto"/>
              <w:right w:val="none" w:sz="0" w:space="0" w:color="auto"/>
            </w:tcBorders>
          </w:tcPr>
          <w:p w14:paraId="7E60A520" w14:textId="56D8C33C" w:rsidR="00702C67" w:rsidRPr="00C864AE" w:rsidRDefault="00702C67" w:rsidP="00B3432A">
            <w:pPr>
              <w:rPr>
                <w:rFonts w:ascii="Arial" w:hAnsi="Arial" w:cs="Arial"/>
                <w:b w:val="0"/>
                <w:bCs w:val="0"/>
                <w:sz w:val="20"/>
                <w:szCs w:val="20"/>
              </w:rPr>
            </w:pPr>
            <w:r w:rsidRPr="00C864AE">
              <w:rPr>
                <w:rFonts w:ascii="Arial" w:hAnsi="Arial" w:cs="Arial"/>
                <w:b w:val="0"/>
                <w:bCs w:val="0"/>
                <w:sz w:val="20"/>
                <w:szCs w:val="20"/>
              </w:rPr>
              <w:t>Ref</w:t>
            </w:r>
          </w:p>
        </w:tc>
        <w:tc>
          <w:tcPr>
            <w:tcW w:w="8028" w:type="dxa"/>
            <w:tcBorders>
              <w:bottom w:val="single" w:sz="4" w:space="0" w:color="auto"/>
            </w:tcBorders>
          </w:tcPr>
          <w:p w14:paraId="0130C9CD" w14:textId="4125785D" w:rsidR="00702C67" w:rsidRPr="00C864AE" w:rsidRDefault="00702C67" w:rsidP="00B3432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864AE">
              <w:rPr>
                <w:rFonts w:ascii="Arial" w:hAnsi="Arial" w:cs="Arial"/>
                <w:sz w:val="20"/>
                <w:szCs w:val="20"/>
              </w:rPr>
              <w:t>Testing</w:t>
            </w:r>
          </w:p>
        </w:tc>
      </w:tr>
      <w:tr w:rsidR="00702C67" w:rsidRPr="00C864AE" w14:paraId="2C565D7D" w14:textId="77777777" w:rsidTr="0072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bottom w:val="nil"/>
              <w:right w:val="none" w:sz="0" w:space="0" w:color="auto"/>
            </w:tcBorders>
          </w:tcPr>
          <w:p w14:paraId="532C8724" w14:textId="2F10B277" w:rsidR="00702C67" w:rsidRPr="00C864AE" w:rsidRDefault="00702C67" w:rsidP="00B3432A">
            <w:pPr>
              <w:rPr>
                <w:rFonts w:ascii="Arial" w:hAnsi="Arial" w:cs="Arial"/>
                <w:b w:val="0"/>
                <w:bCs w:val="0"/>
                <w:sz w:val="20"/>
                <w:szCs w:val="20"/>
              </w:rPr>
            </w:pPr>
            <w:r w:rsidRPr="00C864AE">
              <w:rPr>
                <w:rFonts w:ascii="Arial" w:hAnsi="Arial" w:cs="Arial"/>
                <w:b w:val="0"/>
                <w:bCs w:val="0"/>
                <w:sz w:val="20"/>
                <w:szCs w:val="20"/>
              </w:rPr>
              <w:t>AAD SB 2.1.1</w:t>
            </w:r>
          </w:p>
        </w:tc>
        <w:tc>
          <w:tcPr>
            <w:tcW w:w="8028" w:type="dxa"/>
            <w:tcBorders>
              <w:top w:val="none" w:sz="0" w:space="0" w:color="auto"/>
              <w:bottom w:val="nil"/>
            </w:tcBorders>
          </w:tcPr>
          <w:p w14:paraId="033878E5" w14:textId="77777777" w:rsidR="00702C67" w:rsidRPr="00C864AE" w:rsidRDefault="00702C67" w:rsidP="00B343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4AE">
              <w:rPr>
                <w:rFonts w:ascii="Arial" w:hAnsi="Arial" w:cs="Arial"/>
                <w:sz w:val="20"/>
                <w:szCs w:val="20"/>
              </w:rPr>
              <w:t>The scope of regularity work should cover income and expenditure (including any new COVID-19 funding)</w:t>
            </w:r>
          </w:p>
          <w:p w14:paraId="0EB0B682" w14:textId="17DC8DCC" w:rsidR="00721885" w:rsidRPr="00C864AE" w:rsidRDefault="00721885" w:rsidP="00B343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02C67" w:rsidRPr="00C864AE" w14:paraId="46AEF877" w14:textId="77777777" w:rsidTr="00721885">
        <w:tc>
          <w:tcPr>
            <w:cnfStyle w:val="001000000000" w:firstRow="0" w:lastRow="0" w:firstColumn="1" w:lastColumn="0" w:oddVBand="0" w:evenVBand="0" w:oddHBand="0" w:evenHBand="0" w:firstRowFirstColumn="0" w:firstRowLastColumn="0" w:lastRowFirstColumn="0" w:lastRowLastColumn="0"/>
            <w:tcW w:w="988" w:type="dxa"/>
            <w:tcBorders>
              <w:top w:val="nil"/>
              <w:bottom w:val="single" w:sz="4" w:space="0" w:color="auto"/>
            </w:tcBorders>
          </w:tcPr>
          <w:p w14:paraId="58DD7605" w14:textId="77777777" w:rsidR="00702C67" w:rsidRPr="00C864AE" w:rsidRDefault="00702C67" w:rsidP="00B3432A">
            <w:pPr>
              <w:rPr>
                <w:rFonts w:ascii="Arial" w:hAnsi="Arial" w:cs="Arial"/>
                <w:b w:val="0"/>
                <w:bCs w:val="0"/>
                <w:sz w:val="20"/>
                <w:szCs w:val="20"/>
              </w:rPr>
            </w:pPr>
          </w:p>
        </w:tc>
        <w:tc>
          <w:tcPr>
            <w:tcW w:w="8028" w:type="dxa"/>
            <w:tcBorders>
              <w:top w:val="nil"/>
              <w:bottom w:val="single" w:sz="4" w:space="0" w:color="auto"/>
            </w:tcBorders>
          </w:tcPr>
          <w:p w14:paraId="6BD2FA63" w14:textId="2639990A" w:rsidR="00702C67" w:rsidRPr="00C864AE" w:rsidRDefault="00721885" w:rsidP="00B3432A">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864AE">
              <w:rPr>
                <w:rFonts w:ascii="Arial" w:hAnsi="Arial" w:cs="Arial"/>
                <w:i/>
                <w:iCs/>
                <w:sz w:val="20"/>
                <w:szCs w:val="20"/>
              </w:rPr>
              <w:t>Approach: When tailoring t</w:t>
            </w:r>
            <w:r w:rsidR="002C746D" w:rsidRPr="00C864AE">
              <w:rPr>
                <w:rFonts w:ascii="Arial" w:hAnsi="Arial" w:cs="Arial"/>
                <w:i/>
                <w:iCs/>
                <w:sz w:val="20"/>
                <w:szCs w:val="20"/>
              </w:rPr>
              <w:t xml:space="preserve">esting within section H (income &amp; debtors) and J (expenditure &amp; creditors) </w:t>
            </w:r>
            <w:r w:rsidRPr="00C864AE">
              <w:rPr>
                <w:rFonts w:ascii="Arial" w:hAnsi="Arial" w:cs="Arial"/>
                <w:i/>
                <w:iCs/>
                <w:sz w:val="20"/>
                <w:szCs w:val="20"/>
              </w:rPr>
              <w:t>teams should ensure that matters relating to additional income streams are adequately addressed.  This will include work on terms and requirements and other testing as noted in tests 19 to 25 of part E (tests of detail) in section H.</w:t>
            </w:r>
          </w:p>
          <w:p w14:paraId="43058AEA" w14:textId="49D42D19" w:rsidR="00721885" w:rsidRPr="00C864AE" w:rsidRDefault="00721885" w:rsidP="00B3432A">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r w:rsidR="00702C67" w:rsidRPr="00C864AE" w14:paraId="42B11F59" w14:textId="77777777" w:rsidTr="0072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bottom w:val="nil"/>
            </w:tcBorders>
          </w:tcPr>
          <w:p w14:paraId="3B67CCB0" w14:textId="3F8A1C3C" w:rsidR="00702C67" w:rsidRPr="00C864AE" w:rsidRDefault="00702C67" w:rsidP="00B3432A">
            <w:pPr>
              <w:rPr>
                <w:rFonts w:ascii="Arial" w:hAnsi="Arial" w:cs="Arial"/>
                <w:b w:val="0"/>
                <w:bCs w:val="0"/>
                <w:sz w:val="20"/>
                <w:szCs w:val="20"/>
              </w:rPr>
            </w:pPr>
            <w:r w:rsidRPr="00C864AE">
              <w:rPr>
                <w:rFonts w:ascii="Arial" w:hAnsi="Arial" w:cs="Arial"/>
                <w:b w:val="0"/>
                <w:bCs w:val="0"/>
                <w:sz w:val="20"/>
                <w:szCs w:val="20"/>
              </w:rPr>
              <w:t>AAD SB 2.3.3</w:t>
            </w:r>
          </w:p>
        </w:tc>
        <w:tc>
          <w:tcPr>
            <w:tcW w:w="8028" w:type="dxa"/>
            <w:tcBorders>
              <w:top w:val="single" w:sz="4" w:space="0" w:color="auto"/>
              <w:bottom w:val="nil"/>
            </w:tcBorders>
          </w:tcPr>
          <w:p w14:paraId="28DC0BE9" w14:textId="0553020D" w:rsidR="00702C67" w:rsidRPr="00C864AE" w:rsidRDefault="00702C67" w:rsidP="00B343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4AE">
              <w:rPr>
                <w:rFonts w:ascii="Arial" w:hAnsi="Arial" w:cs="Arial"/>
                <w:sz w:val="20"/>
                <w:szCs w:val="20"/>
              </w:rPr>
              <w:t xml:space="preserve">Where the academy trust supported at risk suppliers using supplier relief due to COVID-19 </w:t>
            </w:r>
            <w:r w:rsidR="00030D99">
              <w:rPr>
                <w:rFonts w:ascii="Arial" w:hAnsi="Arial" w:cs="Arial"/>
                <w:sz w:val="20"/>
                <w:szCs w:val="20"/>
              </w:rPr>
              <w:t>which required</w:t>
            </w:r>
            <w:bookmarkStart w:id="0" w:name="_GoBack"/>
            <w:bookmarkEnd w:id="0"/>
            <w:r w:rsidRPr="00C864AE">
              <w:rPr>
                <w:rFonts w:ascii="Arial" w:hAnsi="Arial" w:cs="Arial"/>
                <w:sz w:val="20"/>
                <w:szCs w:val="20"/>
              </w:rPr>
              <w:t xml:space="preserve"> the application of Procurement Policy Notes (PPN) 02/20 and 04/20, the scope of work should include procedures to appraise the trust’s application of the Notes.</w:t>
            </w:r>
          </w:p>
          <w:p w14:paraId="1824467E" w14:textId="68FF653F" w:rsidR="00721885" w:rsidRPr="00C864AE" w:rsidRDefault="00721885" w:rsidP="00B343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1885" w:rsidRPr="00C864AE" w14:paraId="5B6CBB6F" w14:textId="77777777" w:rsidTr="00721885">
        <w:tc>
          <w:tcPr>
            <w:cnfStyle w:val="001000000000" w:firstRow="0" w:lastRow="0" w:firstColumn="1" w:lastColumn="0" w:oddVBand="0" w:evenVBand="0" w:oddHBand="0" w:evenHBand="0" w:firstRowFirstColumn="0" w:firstRowLastColumn="0" w:lastRowFirstColumn="0" w:lastRowLastColumn="0"/>
            <w:tcW w:w="988" w:type="dxa"/>
            <w:tcBorders>
              <w:top w:val="nil"/>
            </w:tcBorders>
          </w:tcPr>
          <w:p w14:paraId="6D42D357" w14:textId="77777777" w:rsidR="00721885" w:rsidRPr="00C864AE" w:rsidRDefault="00721885" w:rsidP="00B3432A">
            <w:pPr>
              <w:rPr>
                <w:rFonts w:ascii="Arial" w:hAnsi="Arial" w:cs="Arial"/>
                <w:b w:val="0"/>
                <w:bCs w:val="0"/>
                <w:sz w:val="20"/>
                <w:szCs w:val="20"/>
              </w:rPr>
            </w:pPr>
          </w:p>
        </w:tc>
        <w:tc>
          <w:tcPr>
            <w:tcW w:w="8028" w:type="dxa"/>
            <w:tcBorders>
              <w:top w:val="nil"/>
            </w:tcBorders>
          </w:tcPr>
          <w:p w14:paraId="572ABE85" w14:textId="77777777" w:rsidR="00413771" w:rsidRPr="00C864AE" w:rsidRDefault="00721885" w:rsidP="00B3432A">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864AE">
              <w:rPr>
                <w:rFonts w:ascii="Arial" w:hAnsi="Arial" w:cs="Arial"/>
                <w:i/>
                <w:iCs/>
                <w:sz w:val="20"/>
                <w:szCs w:val="20"/>
              </w:rPr>
              <w:t xml:space="preserve">Approach: </w:t>
            </w:r>
            <w:r w:rsidR="00413771" w:rsidRPr="00C864AE">
              <w:rPr>
                <w:rFonts w:ascii="Arial" w:hAnsi="Arial" w:cs="Arial"/>
                <w:i/>
                <w:iCs/>
                <w:sz w:val="20"/>
                <w:szCs w:val="20"/>
              </w:rPr>
              <w:t xml:space="preserve">When tailoring testing within section H (income &amp; debtors) and J (expenditure &amp; creditors) teams should ensure that matters relating to additional income streams are adequately addressed.  </w:t>
            </w:r>
          </w:p>
          <w:p w14:paraId="17DC1F8A" w14:textId="77777777" w:rsidR="00413771" w:rsidRPr="00C864AE" w:rsidRDefault="00413771" w:rsidP="00B3432A">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49A12F02" w14:textId="77777777" w:rsidR="00721885" w:rsidRPr="00C864AE" w:rsidRDefault="00721885" w:rsidP="00B3432A">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864AE">
              <w:rPr>
                <w:rFonts w:ascii="Arial" w:hAnsi="Arial" w:cs="Arial"/>
                <w:i/>
                <w:iCs/>
                <w:sz w:val="20"/>
                <w:szCs w:val="20"/>
              </w:rPr>
              <w:t xml:space="preserve">This will include work on terms and requirements and other testing as noted in tests 1, 2, 4, 30 &amp; 31 of part E (tests of detail) in section J.  It will be important to focus on whether procedural requirements of the PPN have been adequately addressed and decisions adequately documented, which may also be noted </w:t>
            </w:r>
            <w:r w:rsidR="00413771" w:rsidRPr="00C864AE">
              <w:rPr>
                <w:rFonts w:ascii="Arial" w:hAnsi="Arial" w:cs="Arial"/>
                <w:i/>
                <w:iCs/>
                <w:sz w:val="20"/>
                <w:szCs w:val="20"/>
              </w:rPr>
              <w:t>when reviewing board minutes.  Links to government and DfE guidance in this area are included in the Bulletin.</w:t>
            </w:r>
          </w:p>
          <w:p w14:paraId="37B2A4E5" w14:textId="72B29F96" w:rsidR="00413771" w:rsidRPr="00C864AE" w:rsidRDefault="00413771" w:rsidP="00B3432A">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bl>
    <w:p w14:paraId="7A7E5583" w14:textId="3B788BE3" w:rsidR="00030D99" w:rsidRDefault="00030D99">
      <w:pPr>
        <w:rPr>
          <w:rFonts w:ascii="Arial" w:hAnsi="Arial" w:cs="Arial"/>
        </w:rPr>
      </w:pPr>
    </w:p>
    <w:p w14:paraId="1A9B5AD5" w14:textId="77777777" w:rsidR="00030D99" w:rsidRDefault="00030D99">
      <w:pPr>
        <w:spacing w:after="160" w:line="259" w:lineRule="auto"/>
        <w:rPr>
          <w:rFonts w:ascii="Arial" w:hAnsi="Arial" w:cs="Arial"/>
        </w:rPr>
      </w:pPr>
      <w:r>
        <w:rPr>
          <w:rFonts w:ascii="Arial" w:hAnsi="Arial" w:cs="Arial"/>
        </w:rPr>
        <w:br w:type="page"/>
      </w:r>
    </w:p>
    <w:p w14:paraId="4CB4499B" w14:textId="77777777" w:rsidR="00702C67" w:rsidRPr="00C864AE" w:rsidRDefault="00702C67">
      <w:pPr>
        <w:rPr>
          <w:rFonts w:ascii="Arial" w:hAnsi="Arial" w:cs="Arial"/>
        </w:rPr>
      </w:pPr>
    </w:p>
    <w:p w14:paraId="07E4F4B2" w14:textId="7F949CF3" w:rsidR="00810559" w:rsidRPr="00C864AE" w:rsidRDefault="00810559" w:rsidP="002C746D">
      <w:pPr>
        <w:shd w:val="clear" w:color="auto" w:fill="E7E6E6" w:themeFill="background2"/>
        <w:rPr>
          <w:rFonts w:ascii="Arial" w:hAnsi="Arial" w:cs="Arial"/>
          <w:b/>
          <w:bCs/>
        </w:rPr>
      </w:pPr>
      <w:r w:rsidRPr="00C864AE">
        <w:rPr>
          <w:rFonts w:ascii="Arial" w:hAnsi="Arial" w:cs="Arial"/>
          <w:b/>
          <w:bCs/>
        </w:rPr>
        <w:t>Accounts disclosure</w:t>
      </w:r>
      <w:r w:rsidR="00413771" w:rsidRPr="00C864AE">
        <w:rPr>
          <w:rFonts w:ascii="Arial" w:hAnsi="Arial" w:cs="Arial"/>
          <w:b/>
          <w:bCs/>
        </w:rPr>
        <w:t xml:space="preserve"> checklist</w:t>
      </w:r>
    </w:p>
    <w:p w14:paraId="05F11FFC" w14:textId="6D6A9DC8" w:rsidR="00810559" w:rsidRPr="00C864AE" w:rsidRDefault="002C746D">
      <w:pPr>
        <w:rPr>
          <w:rFonts w:ascii="Arial" w:hAnsi="Arial" w:cs="Arial"/>
          <w:sz w:val="20"/>
          <w:szCs w:val="20"/>
        </w:rPr>
      </w:pPr>
      <w:r w:rsidRPr="00C864AE">
        <w:rPr>
          <w:rFonts w:ascii="Arial" w:hAnsi="Arial" w:cs="Arial"/>
          <w:sz w:val="20"/>
          <w:szCs w:val="20"/>
        </w:rPr>
        <w:t xml:space="preserve">A revised </w:t>
      </w:r>
      <w:r w:rsidR="00413771" w:rsidRPr="00C864AE">
        <w:rPr>
          <w:rFonts w:ascii="Arial" w:hAnsi="Arial" w:cs="Arial"/>
          <w:sz w:val="20"/>
          <w:szCs w:val="20"/>
        </w:rPr>
        <w:t>accounts disclosure checklist has been included within this email alert to replace A32 Accounts disclosure checklist (SORP 2019) within Section E of the manual.</w:t>
      </w:r>
    </w:p>
    <w:p w14:paraId="5A6C3CCE" w14:textId="0565850E" w:rsidR="00413771" w:rsidRPr="00C864AE" w:rsidRDefault="00413771">
      <w:pPr>
        <w:rPr>
          <w:rFonts w:ascii="Arial" w:hAnsi="Arial" w:cs="Arial"/>
          <w:sz w:val="20"/>
          <w:szCs w:val="20"/>
        </w:rPr>
      </w:pPr>
    </w:p>
    <w:p w14:paraId="22AE11E0" w14:textId="2B6C4DD5" w:rsidR="00413771" w:rsidRPr="00C864AE" w:rsidRDefault="00413771">
      <w:pPr>
        <w:rPr>
          <w:rFonts w:ascii="Arial" w:hAnsi="Arial" w:cs="Arial"/>
          <w:sz w:val="20"/>
          <w:szCs w:val="20"/>
        </w:rPr>
      </w:pPr>
      <w:r w:rsidRPr="00C864AE">
        <w:rPr>
          <w:rFonts w:ascii="Arial" w:hAnsi="Arial" w:cs="Arial"/>
          <w:sz w:val="20"/>
          <w:szCs w:val="20"/>
        </w:rPr>
        <w:t>Preparers of accounts should also have regard to guidance included within the Bulletin regarding Trustees’ Report narrative in respect of COVID-19 matters.</w:t>
      </w:r>
    </w:p>
    <w:p w14:paraId="74F2BE5D" w14:textId="1F7DFBC2" w:rsidR="00413771" w:rsidRPr="00C864AE" w:rsidRDefault="00413771">
      <w:pPr>
        <w:rPr>
          <w:rFonts w:ascii="Arial" w:hAnsi="Arial" w:cs="Arial"/>
          <w:sz w:val="20"/>
          <w:szCs w:val="20"/>
        </w:rPr>
      </w:pPr>
    </w:p>
    <w:p w14:paraId="3F3012A0" w14:textId="040AB028" w:rsidR="00413771" w:rsidRPr="00C864AE" w:rsidRDefault="00413771" w:rsidP="00413771">
      <w:pPr>
        <w:shd w:val="clear" w:color="auto" w:fill="E7E6E6" w:themeFill="background2"/>
        <w:rPr>
          <w:rFonts w:ascii="Arial" w:hAnsi="Arial" w:cs="Arial"/>
          <w:b/>
          <w:bCs/>
        </w:rPr>
      </w:pPr>
      <w:r w:rsidRPr="00C864AE">
        <w:rPr>
          <w:rFonts w:ascii="Arial" w:hAnsi="Arial" w:cs="Arial"/>
          <w:b/>
          <w:bCs/>
        </w:rPr>
        <w:t>Proforma accounts</w:t>
      </w:r>
    </w:p>
    <w:p w14:paraId="22E89A31" w14:textId="6F86429D" w:rsidR="00413771" w:rsidRPr="00C864AE" w:rsidRDefault="00413771">
      <w:pPr>
        <w:rPr>
          <w:rFonts w:ascii="Arial" w:hAnsi="Arial" w:cs="Arial"/>
          <w:sz w:val="20"/>
          <w:szCs w:val="20"/>
        </w:rPr>
      </w:pPr>
      <w:r w:rsidRPr="00C864AE">
        <w:rPr>
          <w:rFonts w:ascii="Arial" w:hAnsi="Arial" w:cs="Arial"/>
          <w:sz w:val="20"/>
          <w:szCs w:val="20"/>
        </w:rPr>
        <w:t>A revised set of proforma accounts has been included within this email alert to replace those in Section D of the manual.</w:t>
      </w:r>
    </w:p>
    <w:sectPr w:rsidR="00413771" w:rsidRPr="00C864AE" w:rsidSect="00C825C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6FB0" w14:textId="77777777" w:rsidR="00C825C1" w:rsidRDefault="00C825C1" w:rsidP="00C825C1">
      <w:r>
        <w:separator/>
      </w:r>
    </w:p>
  </w:endnote>
  <w:endnote w:type="continuationSeparator" w:id="0">
    <w:p w14:paraId="7CCAB3B0" w14:textId="77777777" w:rsidR="00C825C1" w:rsidRDefault="00C825C1" w:rsidP="00C8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1E0A" w14:textId="1492D655" w:rsidR="00C825C1" w:rsidRPr="00C51A3F" w:rsidRDefault="00C825C1">
    <w:pPr>
      <w:pStyle w:val="Footer"/>
      <w:rPr>
        <w:rFonts w:ascii="Arial" w:hAnsi="Arial" w:cs="Arial"/>
        <w:sz w:val="14"/>
        <w:szCs w:val="14"/>
      </w:rPr>
    </w:pPr>
    <w:r w:rsidRPr="00C51A3F">
      <w:rPr>
        <w:rFonts w:ascii="Arial" w:hAnsi="Arial" w:cs="Arial"/>
        <w:sz w:val="14"/>
        <w:szCs w:val="14"/>
      </w:rPr>
      <w:t>© Mercia Group Limited 2020</w:t>
    </w:r>
    <w:r w:rsidR="00FF1234" w:rsidRPr="00C51A3F">
      <w:rPr>
        <w:rFonts w:ascii="Arial" w:hAnsi="Arial" w:cs="Arial"/>
        <w:sz w:val="14"/>
        <w:szCs w:val="14"/>
      </w:rPr>
      <w:t xml:space="preserve">. The guidance notes and / or programmes can be printed or photocopied as many times as you like or installed on an intranet or network, provided they are used solely within the purchasing firm. Contains public sector information licensed under the Open Government Licence v3.0. This manual </w:t>
    </w:r>
    <w:r w:rsidR="005A4D91" w:rsidRPr="00C51A3F">
      <w:rPr>
        <w:rFonts w:ascii="Arial" w:hAnsi="Arial" w:cs="Arial"/>
        <w:sz w:val="14"/>
        <w:szCs w:val="14"/>
      </w:rPr>
      <w:t xml:space="preserve">and guidance </w:t>
    </w:r>
    <w:r w:rsidR="00FF1234" w:rsidRPr="00C51A3F">
      <w:rPr>
        <w:rFonts w:ascii="Arial" w:hAnsi="Arial" w:cs="Arial"/>
        <w:sz w:val="14"/>
        <w:szCs w:val="14"/>
      </w:rPr>
      <w:t>should be read in conjunction with the detailed legislation or regulations.  No responsibility for loss occasioned by any person acting or refraining from action as a result of the material contained in this manual</w:t>
    </w:r>
    <w:r w:rsidR="005A4D91" w:rsidRPr="00C51A3F">
      <w:rPr>
        <w:rFonts w:ascii="Arial" w:hAnsi="Arial" w:cs="Arial"/>
        <w:sz w:val="14"/>
        <w:szCs w:val="14"/>
      </w:rPr>
      <w:t xml:space="preserve"> or guidance</w:t>
    </w:r>
    <w:r w:rsidR="00FF1234" w:rsidRPr="00C51A3F">
      <w:rPr>
        <w:rFonts w:ascii="Arial" w:hAnsi="Arial" w:cs="Arial"/>
        <w:sz w:val="14"/>
        <w:szCs w:val="14"/>
      </w:rPr>
      <w:t xml:space="preserve"> can be accepted by the authors or the firm.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918C" w14:textId="77777777" w:rsidR="005A4D91" w:rsidRDefault="005A4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096C" w14:textId="77777777" w:rsidR="005A4D91" w:rsidRDefault="005A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23C4" w14:textId="77777777" w:rsidR="00C825C1" w:rsidRDefault="00C825C1" w:rsidP="00C825C1">
      <w:r>
        <w:separator/>
      </w:r>
    </w:p>
  </w:footnote>
  <w:footnote w:type="continuationSeparator" w:id="0">
    <w:p w14:paraId="3FE7F876" w14:textId="77777777" w:rsidR="00C825C1" w:rsidRDefault="00C825C1" w:rsidP="00C82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EDE9" w14:textId="77777777" w:rsidR="005A4D91" w:rsidRDefault="005A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A256" w14:textId="6F96CB51" w:rsidR="00C825C1" w:rsidRDefault="00C825C1" w:rsidP="00C825C1">
    <w:pPr>
      <w:pStyle w:val="Header"/>
      <w:jc w:val="center"/>
    </w:pPr>
    <w:r w:rsidRPr="00C825C1">
      <w:rPr>
        <w:b/>
        <w:bCs/>
        <w:noProof/>
        <w:sz w:val="28"/>
        <w:szCs w:val="28"/>
      </w:rPr>
      <w:drawing>
        <wp:inline distT="0" distB="0" distL="0" distR="0" wp14:anchorId="24E633F1" wp14:editId="526592DF">
          <wp:extent cx="1733550" cy="1046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46480"/>
                  </a:xfrm>
                  <a:prstGeom prst="rect">
                    <a:avLst/>
                  </a:prstGeom>
                  <a:noFill/>
                  <a:ln>
                    <a:noFill/>
                  </a:ln>
                </pic:spPr>
              </pic:pic>
            </a:graphicData>
          </a:graphic>
        </wp:inline>
      </w:drawing>
    </w:r>
  </w:p>
  <w:p w14:paraId="0702DDC3" w14:textId="77777777" w:rsidR="00C825C1" w:rsidRDefault="00C825C1" w:rsidP="00C825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F7D0" w14:textId="77777777" w:rsidR="005A4D91" w:rsidRDefault="005A4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2B2"/>
    <w:multiLevelType w:val="hybridMultilevel"/>
    <w:tmpl w:val="1C346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12577F"/>
    <w:multiLevelType w:val="hybridMultilevel"/>
    <w:tmpl w:val="C00C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F1CF3"/>
    <w:multiLevelType w:val="hybridMultilevel"/>
    <w:tmpl w:val="B69A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64744"/>
    <w:multiLevelType w:val="hybridMultilevel"/>
    <w:tmpl w:val="A22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78"/>
    <w:rsid w:val="00030D99"/>
    <w:rsid w:val="00127C2A"/>
    <w:rsid w:val="001B1C5F"/>
    <w:rsid w:val="001F3D1F"/>
    <w:rsid w:val="002C746D"/>
    <w:rsid w:val="0033440A"/>
    <w:rsid w:val="00340427"/>
    <w:rsid w:val="00377932"/>
    <w:rsid w:val="00413771"/>
    <w:rsid w:val="004A0778"/>
    <w:rsid w:val="004B2880"/>
    <w:rsid w:val="005A4D91"/>
    <w:rsid w:val="0069714B"/>
    <w:rsid w:val="00702C67"/>
    <w:rsid w:val="00721885"/>
    <w:rsid w:val="00810559"/>
    <w:rsid w:val="009B6AF0"/>
    <w:rsid w:val="009C074E"/>
    <w:rsid w:val="009C7CF3"/>
    <w:rsid w:val="00A929E4"/>
    <w:rsid w:val="00BF78B5"/>
    <w:rsid w:val="00C51A3F"/>
    <w:rsid w:val="00C825C1"/>
    <w:rsid w:val="00C864AE"/>
    <w:rsid w:val="00CA2DB2"/>
    <w:rsid w:val="00DD5A0C"/>
    <w:rsid w:val="00E30B3A"/>
    <w:rsid w:val="00FF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9919E"/>
  <w15:chartTrackingRefBased/>
  <w15:docId w15:val="{8B3AC3BF-973E-4354-B40F-94469DFA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7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78"/>
    <w:rPr>
      <w:color w:val="0000FF"/>
      <w:u w:val="single"/>
    </w:rPr>
  </w:style>
  <w:style w:type="character" w:styleId="UnresolvedMention">
    <w:name w:val="Unresolved Mention"/>
    <w:basedOn w:val="DefaultParagraphFont"/>
    <w:uiPriority w:val="99"/>
    <w:semiHidden/>
    <w:unhideWhenUsed/>
    <w:rsid w:val="004A0778"/>
    <w:rPr>
      <w:color w:val="605E5C"/>
      <w:shd w:val="clear" w:color="auto" w:fill="E1DFDD"/>
    </w:rPr>
  </w:style>
  <w:style w:type="paragraph" w:styleId="ListParagraph">
    <w:name w:val="List Paragraph"/>
    <w:basedOn w:val="Normal"/>
    <w:uiPriority w:val="34"/>
    <w:qFormat/>
    <w:rsid w:val="004A0778"/>
    <w:pPr>
      <w:ind w:left="720"/>
      <w:contextualSpacing/>
    </w:pPr>
  </w:style>
  <w:style w:type="table" w:styleId="TableGrid">
    <w:name w:val="Table Grid"/>
    <w:basedOn w:val="TableNormal"/>
    <w:uiPriority w:val="39"/>
    <w:rsid w:val="00CA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CA2DB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C82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C1"/>
    <w:rPr>
      <w:rFonts w:ascii="Segoe UI" w:hAnsi="Segoe UI" w:cs="Segoe UI"/>
      <w:sz w:val="18"/>
      <w:szCs w:val="18"/>
      <w:lang w:eastAsia="en-GB"/>
    </w:rPr>
  </w:style>
  <w:style w:type="paragraph" w:styleId="Header">
    <w:name w:val="header"/>
    <w:basedOn w:val="Normal"/>
    <w:link w:val="HeaderChar"/>
    <w:uiPriority w:val="99"/>
    <w:unhideWhenUsed/>
    <w:rsid w:val="00C825C1"/>
    <w:pPr>
      <w:tabs>
        <w:tab w:val="center" w:pos="4513"/>
        <w:tab w:val="right" w:pos="9026"/>
      </w:tabs>
    </w:pPr>
  </w:style>
  <w:style w:type="character" w:customStyle="1" w:styleId="HeaderChar">
    <w:name w:val="Header Char"/>
    <w:basedOn w:val="DefaultParagraphFont"/>
    <w:link w:val="Header"/>
    <w:uiPriority w:val="99"/>
    <w:rsid w:val="00C825C1"/>
    <w:rPr>
      <w:rFonts w:ascii="Calibri" w:hAnsi="Calibri" w:cs="Calibri"/>
      <w:lang w:eastAsia="en-GB"/>
    </w:rPr>
  </w:style>
  <w:style w:type="paragraph" w:styleId="Footer">
    <w:name w:val="footer"/>
    <w:basedOn w:val="Normal"/>
    <w:link w:val="FooterChar"/>
    <w:uiPriority w:val="99"/>
    <w:unhideWhenUsed/>
    <w:rsid w:val="00C825C1"/>
    <w:pPr>
      <w:tabs>
        <w:tab w:val="center" w:pos="4513"/>
        <w:tab w:val="right" w:pos="9026"/>
      </w:tabs>
    </w:pPr>
  </w:style>
  <w:style w:type="character" w:customStyle="1" w:styleId="FooterChar">
    <w:name w:val="Footer Char"/>
    <w:basedOn w:val="DefaultParagraphFont"/>
    <w:link w:val="Footer"/>
    <w:uiPriority w:val="99"/>
    <w:rsid w:val="00C825C1"/>
    <w:rPr>
      <w:rFonts w:ascii="Calibri" w:hAnsi="Calibri" w:cs="Calibri"/>
      <w:lang w:eastAsia="en-GB"/>
    </w:rPr>
  </w:style>
  <w:style w:type="character" w:styleId="FollowedHyperlink">
    <w:name w:val="FollowedHyperlink"/>
    <w:basedOn w:val="DefaultParagraphFont"/>
    <w:uiPriority w:val="99"/>
    <w:semiHidden/>
    <w:unhideWhenUsed/>
    <w:rsid w:val="00E30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cia-group.com/media/3804/covid_19_assessing-the-impact-and-audit-implication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ssets.publishing.service.gov.uk/government/uploads/system/uploads/attachment_data/file/904685/Academies_Accounts_Direction_supplementary_bulletin_July_20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d152cd-8ab6-4408-8b9e-b76d58dc2758"/>
    <TaxKeywordTaxHTField xmlns="c8d152cd-8ab6-4408-8b9e-b76d58dc2758">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07EE8414798E4A8087524A68C52839" ma:contentTypeVersion="10" ma:contentTypeDescription="Create a new document." ma:contentTypeScope="" ma:versionID="fb7c847786f255f3cb8ed90e87c02267">
  <xsd:schema xmlns:xsd="http://www.w3.org/2001/XMLSchema" xmlns:xs="http://www.w3.org/2001/XMLSchema" xmlns:p="http://schemas.microsoft.com/office/2006/metadata/properties" xmlns:ns2="c8d152cd-8ab6-4408-8b9e-b76d58dc2758" xmlns:ns3="263fd476-59d5-491d-8447-82ca5574795e" targetNamespace="http://schemas.microsoft.com/office/2006/metadata/properties" ma:root="true" ma:fieldsID="3ae953961fe857bad166e884b34d670e" ns2:_="" ns3:_="">
    <xsd:import namespace="c8d152cd-8ab6-4408-8b9e-b76d58dc2758"/>
    <xsd:import namespace="263fd476-59d5-491d-8447-82ca5574795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152cd-8ab6-4408-8b9e-b76d58dc275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1f6b626-25e7-453e-bf13-b9eb00434fa8"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6efa7d3-0817-4b46-b6a7-3a0de4ec936d}" ma:internalName="TaxCatchAll" ma:showField="CatchAllData" ma:web="c8d152cd-8ab6-4408-8b9e-b76d58dc27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fd476-59d5-491d-8447-82ca557479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75AD0-78C3-4570-B4A5-12E99834A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43AE7-F6EC-41FC-9B12-F58C70172BC2}">
  <ds:schemaRefs>
    <ds:schemaRef ds:uri="http://schemas.microsoft.com/sharepoint/v3/contenttype/forms"/>
  </ds:schemaRefs>
</ds:datastoreItem>
</file>

<file path=customXml/itemProps3.xml><?xml version="1.0" encoding="utf-8"?>
<ds:datastoreItem xmlns:ds="http://schemas.openxmlformats.org/officeDocument/2006/customXml" ds:itemID="{FB573710-1DD3-4610-94CC-7180F16BC6EC}"/>
</file>

<file path=docProps/app.xml><?xml version="1.0" encoding="utf-8"?>
<Properties xmlns="http://schemas.openxmlformats.org/officeDocument/2006/extended-properties" xmlns:vt="http://schemas.openxmlformats.org/officeDocument/2006/docPropsVTypes">
  <Template>Normal.dotm</Template>
  <TotalTime>217</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Jenny Faulkner</cp:lastModifiedBy>
  <cp:revision>5</cp:revision>
  <dcterms:created xsi:type="dcterms:W3CDTF">2020-08-18T18:29:00Z</dcterms:created>
  <dcterms:modified xsi:type="dcterms:W3CDTF">2020-08-20T13:52:00Z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0x0101008807EE8414798E4A8087524A68C52839</vt:lpwstr>
  </property>
  <property fmtid="{D5CDD505-2E9C-101B-9397-08002B2CF9AE}" pid="3" name="TaxKeyword">
    <vt:lpwstr/>
  </property>
</Properties>
</file>